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873F" w14:textId="77777777" w:rsidR="00532100" w:rsidRDefault="00532100">
      <w:pPr>
        <w:spacing w:line="36" w:lineRule="exact"/>
        <w:rPr>
          <w:sz w:val="24"/>
          <w:szCs w:val="24"/>
        </w:rPr>
      </w:pPr>
    </w:p>
    <w:p w14:paraId="3852DD29" w14:textId="77777777" w:rsidR="00C45AE6" w:rsidRPr="00C45AE6" w:rsidRDefault="00C45AE6" w:rsidP="00C45AE6">
      <w:pPr>
        <w:rPr>
          <w:b/>
          <w:bCs/>
          <w:sz w:val="28"/>
          <w:szCs w:val="28"/>
          <w:u w:val="single"/>
        </w:rPr>
      </w:pPr>
      <w:r w:rsidRPr="00C45AE6">
        <w:rPr>
          <w:b/>
          <w:bCs/>
          <w:sz w:val="28"/>
          <w:szCs w:val="28"/>
          <w:u w:val="single"/>
        </w:rPr>
        <w:t>Attachment C</w:t>
      </w:r>
    </w:p>
    <w:p w14:paraId="7ECCE645" w14:textId="77777777" w:rsidR="00532100" w:rsidRDefault="00532100">
      <w:pPr>
        <w:spacing w:line="226" w:lineRule="exact"/>
        <w:rPr>
          <w:sz w:val="24"/>
          <w:szCs w:val="24"/>
        </w:rPr>
      </w:pPr>
    </w:p>
    <w:p w14:paraId="15AAD0BE" w14:textId="77777777" w:rsidR="00532100" w:rsidRDefault="00FF463A">
      <w:pPr>
        <w:ind w:left="2380"/>
        <w:rPr>
          <w:sz w:val="20"/>
          <w:szCs w:val="20"/>
        </w:rPr>
      </w:pPr>
      <w:r>
        <w:rPr>
          <w:rFonts w:ascii="Arial" w:eastAsia="Arial" w:hAnsi="Arial" w:cs="Arial"/>
          <w:sz w:val="27"/>
          <w:szCs w:val="27"/>
        </w:rPr>
        <w:t>INVESTMENT POLICY</w:t>
      </w:r>
    </w:p>
    <w:p w14:paraId="5516D42D" w14:textId="77777777" w:rsidR="00532100" w:rsidRDefault="00532100">
      <w:pPr>
        <w:spacing w:line="200" w:lineRule="exact"/>
        <w:rPr>
          <w:sz w:val="24"/>
          <w:szCs w:val="24"/>
        </w:rPr>
      </w:pPr>
    </w:p>
    <w:p w14:paraId="67D6A34E" w14:textId="77777777" w:rsidR="00532100" w:rsidRDefault="00532100">
      <w:pPr>
        <w:spacing w:line="313" w:lineRule="exact"/>
        <w:rPr>
          <w:sz w:val="24"/>
          <w:szCs w:val="24"/>
        </w:rPr>
      </w:pPr>
    </w:p>
    <w:p w14:paraId="3043C2D3" w14:textId="77777777" w:rsidR="00532100" w:rsidRDefault="00FF463A">
      <w:pPr>
        <w:ind w:left="120"/>
        <w:rPr>
          <w:sz w:val="20"/>
          <w:szCs w:val="20"/>
        </w:rPr>
      </w:pPr>
      <w:r>
        <w:rPr>
          <w:rFonts w:eastAsia="Times New Roman"/>
          <w:sz w:val="26"/>
          <w:szCs w:val="26"/>
          <w:u w:val="single"/>
        </w:rPr>
        <w:t>Investment Philosophy</w:t>
      </w:r>
    </w:p>
    <w:p w14:paraId="3295EA2D" w14:textId="77777777" w:rsidR="00532100" w:rsidRDefault="00532100">
      <w:pPr>
        <w:spacing w:line="77" w:lineRule="exact"/>
        <w:rPr>
          <w:sz w:val="24"/>
          <w:szCs w:val="24"/>
        </w:rPr>
      </w:pPr>
    </w:p>
    <w:p w14:paraId="3C458BCD" w14:textId="77777777" w:rsidR="00532100" w:rsidRDefault="00FF463A">
      <w:pPr>
        <w:spacing w:line="225" w:lineRule="auto"/>
        <w:ind w:left="120" w:right="800"/>
        <w:rPr>
          <w:sz w:val="20"/>
          <w:szCs w:val="20"/>
        </w:rPr>
      </w:pPr>
      <w:r>
        <w:rPr>
          <w:rFonts w:ascii="Calibri" w:eastAsia="Calibri" w:hAnsi="Calibri" w:cs="Calibri"/>
          <w:sz w:val="25"/>
          <w:szCs w:val="25"/>
        </w:rPr>
        <w:t xml:space="preserve">Per Section 4 of the Black Point Beach Club Association, Inc. (“BPBC”) Charter, the Board </w:t>
      </w:r>
      <w:proofErr w:type="gramStart"/>
      <w:r>
        <w:rPr>
          <w:rFonts w:ascii="Calibri" w:eastAsia="Calibri" w:hAnsi="Calibri" w:cs="Calibri"/>
          <w:sz w:val="25"/>
          <w:szCs w:val="25"/>
        </w:rPr>
        <w:t>Of</w:t>
      </w:r>
      <w:proofErr w:type="gramEnd"/>
      <w:r>
        <w:rPr>
          <w:rFonts w:ascii="Calibri" w:eastAsia="Calibri" w:hAnsi="Calibri" w:cs="Calibri"/>
          <w:sz w:val="25"/>
          <w:szCs w:val="25"/>
        </w:rPr>
        <w:t xml:space="preserve"> </w:t>
      </w:r>
      <w:proofErr w:type="gramStart"/>
      <w:r>
        <w:rPr>
          <w:rFonts w:ascii="Calibri" w:eastAsia="Calibri" w:hAnsi="Calibri" w:cs="Calibri"/>
          <w:sz w:val="25"/>
          <w:szCs w:val="25"/>
        </w:rPr>
        <w:t>Governors(</w:t>
      </w:r>
      <w:proofErr w:type="gramEnd"/>
      <w:r>
        <w:rPr>
          <w:rFonts w:ascii="Calibri" w:eastAsia="Calibri" w:hAnsi="Calibri" w:cs="Calibri"/>
          <w:sz w:val="25"/>
          <w:szCs w:val="25"/>
        </w:rPr>
        <w:t>BOG) shall have the care, custody, management, control and</w:t>
      </w:r>
    </w:p>
    <w:p w14:paraId="53110DF0" w14:textId="77777777" w:rsidR="00532100" w:rsidRDefault="00532100">
      <w:pPr>
        <w:spacing w:line="2" w:lineRule="exact"/>
        <w:rPr>
          <w:sz w:val="24"/>
          <w:szCs w:val="24"/>
        </w:rPr>
      </w:pPr>
    </w:p>
    <w:p w14:paraId="5050A18E" w14:textId="77777777" w:rsidR="00532100" w:rsidRDefault="00FF463A">
      <w:pPr>
        <w:spacing w:line="215" w:lineRule="auto"/>
        <w:ind w:left="120" w:right="540"/>
        <w:rPr>
          <w:sz w:val="20"/>
          <w:szCs w:val="20"/>
        </w:rPr>
      </w:pPr>
      <w:r>
        <w:rPr>
          <w:rFonts w:ascii="Calibri" w:eastAsia="Calibri" w:hAnsi="Calibri" w:cs="Calibri"/>
          <w:sz w:val="26"/>
          <w:szCs w:val="26"/>
        </w:rPr>
        <w:t xml:space="preserve">direction of all funds. </w:t>
      </w:r>
      <w:r>
        <w:rPr>
          <w:rFonts w:ascii="Arial" w:eastAsia="Arial" w:hAnsi="Arial" w:cs="Arial"/>
          <w:sz w:val="24"/>
          <w:szCs w:val="24"/>
        </w:rPr>
        <w:t xml:space="preserve">The objective is to maintain </w:t>
      </w:r>
      <w:r w:rsidR="00194688">
        <w:rPr>
          <w:rFonts w:ascii="Arial" w:eastAsia="Arial" w:hAnsi="Arial" w:cs="Arial"/>
          <w:sz w:val="24"/>
          <w:szCs w:val="24"/>
        </w:rPr>
        <w:t xml:space="preserve">zero risk for </w:t>
      </w:r>
      <w:r>
        <w:rPr>
          <w:rFonts w:ascii="Arial" w:eastAsia="Arial" w:hAnsi="Arial" w:cs="Arial"/>
          <w:sz w:val="24"/>
          <w:szCs w:val="24"/>
        </w:rPr>
        <w:t>the principal and generate growth</w:t>
      </w:r>
      <w:r>
        <w:rPr>
          <w:rFonts w:ascii="Calibri" w:eastAsia="Calibri" w:hAnsi="Calibri" w:cs="Calibri"/>
          <w:sz w:val="26"/>
          <w:szCs w:val="26"/>
        </w:rPr>
        <w:t xml:space="preserve"> </w:t>
      </w:r>
      <w:r>
        <w:rPr>
          <w:rFonts w:ascii="Arial" w:eastAsia="Arial" w:hAnsi="Arial" w:cs="Arial"/>
          <w:sz w:val="24"/>
          <w:szCs w:val="24"/>
        </w:rPr>
        <w:t>to provide support and security for the BPBC’s funds.</w:t>
      </w:r>
    </w:p>
    <w:p w14:paraId="4052979B" w14:textId="77777777" w:rsidR="00532100" w:rsidRDefault="00532100">
      <w:pPr>
        <w:spacing w:line="188" w:lineRule="exact"/>
        <w:rPr>
          <w:sz w:val="24"/>
          <w:szCs w:val="24"/>
        </w:rPr>
      </w:pPr>
    </w:p>
    <w:p w14:paraId="3B8EF90A" w14:textId="77777777" w:rsidR="00532100" w:rsidRDefault="00FF463A">
      <w:pPr>
        <w:ind w:left="100"/>
        <w:rPr>
          <w:sz w:val="20"/>
          <w:szCs w:val="20"/>
        </w:rPr>
      </w:pPr>
      <w:r>
        <w:rPr>
          <w:rFonts w:ascii="Arial" w:eastAsia="Arial" w:hAnsi="Arial" w:cs="Arial"/>
          <w:sz w:val="25"/>
          <w:szCs w:val="25"/>
          <w:u w:val="single"/>
        </w:rPr>
        <w:t>Investment Policy</w:t>
      </w:r>
    </w:p>
    <w:p w14:paraId="76F4C567" w14:textId="77777777" w:rsidR="00532100" w:rsidRDefault="00532100">
      <w:pPr>
        <w:spacing w:line="43" w:lineRule="exact"/>
        <w:rPr>
          <w:sz w:val="24"/>
          <w:szCs w:val="24"/>
        </w:rPr>
      </w:pPr>
    </w:p>
    <w:p w14:paraId="2745F947" w14:textId="77777777" w:rsidR="00532100" w:rsidRDefault="00FF463A">
      <w:pPr>
        <w:spacing w:line="233" w:lineRule="auto"/>
        <w:ind w:left="120" w:right="680"/>
        <w:rPr>
          <w:sz w:val="20"/>
          <w:szCs w:val="20"/>
        </w:rPr>
      </w:pPr>
      <w:r>
        <w:rPr>
          <w:rFonts w:ascii="Arial" w:eastAsia="Arial" w:hAnsi="Arial" w:cs="Arial"/>
          <w:sz w:val="25"/>
          <w:szCs w:val="25"/>
        </w:rPr>
        <w:t xml:space="preserve">The primary objectives of BPBC's investment program shall be </w:t>
      </w:r>
      <w:r w:rsidR="00034F9D">
        <w:rPr>
          <w:rFonts w:ascii="Arial" w:eastAsia="Arial" w:hAnsi="Arial" w:cs="Arial"/>
          <w:sz w:val="25"/>
          <w:szCs w:val="25"/>
        </w:rPr>
        <w:t xml:space="preserve">the </w:t>
      </w:r>
      <w:r>
        <w:rPr>
          <w:rFonts w:ascii="Arial" w:eastAsia="Arial" w:hAnsi="Arial" w:cs="Arial"/>
          <w:sz w:val="25"/>
          <w:szCs w:val="25"/>
        </w:rPr>
        <w:t xml:space="preserve">maintenance </w:t>
      </w:r>
      <w:r w:rsidR="00034F9D">
        <w:rPr>
          <w:rFonts w:ascii="Arial" w:eastAsia="Arial" w:hAnsi="Arial" w:cs="Arial"/>
          <w:sz w:val="25"/>
          <w:szCs w:val="25"/>
        </w:rPr>
        <w:t xml:space="preserve">of </w:t>
      </w:r>
      <w:r w:rsidR="00194688">
        <w:rPr>
          <w:rFonts w:ascii="Arial" w:eastAsia="Arial" w:hAnsi="Arial" w:cs="Arial"/>
          <w:sz w:val="25"/>
          <w:szCs w:val="25"/>
        </w:rPr>
        <w:t>zero risk for the</w:t>
      </w:r>
      <w:r>
        <w:rPr>
          <w:rFonts w:ascii="Arial" w:eastAsia="Arial" w:hAnsi="Arial" w:cs="Arial"/>
          <w:sz w:val="25"/>
          <w:szCs w:val="25"/>
        </w:rPr>
        <w:t xml:space="preserve"> </w:t>
      </w:r>
      <w:r>
        <w:rPr>
          <w:rFonts w:ascii="Arial" w:eastAsia="Arial" w:hAnsi="Arial" w:cs="Arial"/>
          <w:sz w:val="24"/>
          <w:szCs w:val="24"/>
        </w:rPr>
        <w:t xml:space="preserve">principal and generate growth through a diverse asset allocation. Therefore, no funds shall be invested in any instruments which are deemed by the Board of Governors to be speculative in nature. All investments shall be made only after </w:t>
      </w:r>
      <w:proofErr w:type="gramStart"/>
      <w:r>
        <w:rPr>
          <w:rFonts w:ascii="Arial" w:eastAsia="Arial" w:hAnsi="Arial" w:cs="Arial"/>
          <w:sz w:val="24"/>
          <w:szCs w:val="24"/>
        </w:rPr>
        <w:t>concurrence</w:t>
      </w:r>
      <w:proofErr w:type="gramEnd"/>
      <w:r>
        <w:rPr>
          <w:rFonts w:ascii="Arial" w:eastAsia="Arial" w:hAnsi="Arial" w:cs="Arial"/>
          <w:sz w:val="24"/>
          <w:szCs w:val="24"/>
        </w:rPr>
        <w:t xml:space="preserve"> by </w:t>
      </w:r>
      <w:proofErr w:type="gramStart"/>
      <w:r>
        <w:rPr>
          <w:rFonts w:ascii="Arial" w:eastAsia="Arial" w:hAnsi="Arial" w:cs="Arial"/>
          <w:sz w:val="24"/>
          <w:szCs w:val="24"/>
        </w:rPr>
        <w:t>a majority of</w:t>
      </w:r>
      <w:proofErr w:type="gramEnd"/>
      <w:r>
        <w:rPr>
          <w:rFonts w:ascii="Arial" w:eastAsia="Arial" w:hAnsi="Arial" w:cs="Arial"/>
          <w:sz w:val="24"/>
          <w:szCs w:val="24"/>
        </w:rPr>
        <w:t xml:space="preserve"> the Board of Governors.</w:t>
      </w:r>
    </w:p>
    <w:p w14:paraId="4278F22F" w14:textId="77777777" w:rsidR="00532100" w:rsidRDefault="00532100">
      <w:pPr>
        <w:spacing w:line="174" w:lineRule="exact"/>
        <w:rPr>
          <w:sz w:val="24"/>
          <w:szCs w:val="24"/>
        </w:rPr>
      </w:pPr>
    </w:p>
    <w:p w14:paraId="34EFC34D" w14:textId="77777777" w:rsidR="00532100" w:rsidRDefault="00FF463A">
      <w:pPr>
        <w:ind w:left="120"/>
        <w:rPr>
          <w:sz w:val="20"/>
          <w:szCs w:val="20"/>
        </w:rPr>
      </w:pPr>
      <w:r>
        <w:rPr>
          <w:rFonts w:ascii="Arial" w:eastAsia="Arial" w:hAnsi="Arial" w:cs="Arial"/>
          <w:sz w:val="26"/>
          <w:szCs w:val="26"/>
          <w:u w:val="single"/>
        </w:rPr>
        <w:t>Investment Responsibility</w:t>
      </w:r>
    </w:p>
    <w:p w14:paraId="6D242CB9" w14:textId="77777777" w:rsidR="00532100" w:rsidRDefault="00532100">
      <w:pPr>
        <w:spacing w:line="46" w:lineRule="exact"/>
        <w:rPr>
          <w:sz w:val="24"/>
          <w:szCs w:val="24"/>
        </w:rPr>
      </w:pPr>
    </w:p>
    <w:p w14:paraId="1FD4A78D" w14:textId="77777777" w:rsidR="00532100" w:rsidRDefault="00FF463A">
      <w:pPr>
        <w:spacing w:line="225" w:lineRule="auto"/>
        <w:ind w:left="120" w:right="200"/>
        <w:rPr>
          <w:sz w:val="20"/>
          <w:szCs w:val="20"/>
        </w:rPr>
      </w:pPr>
      <w:r>
        <w:rPr>
          <w:rFonts w:ascii="Arial" w:eastAsia="Arial" w:hAnsi="Arial" w:cs="Arial"/>
          <w:sz w:val="25"/>
          <w:szCs w:val="25"/>
        </w:rPr>
        <w:t xml:space="preserve">The BOG shall appoint a </w:t>
      </w:r>
      <w:proofErr w:type="gramStart"/>
      <w:r>
        <w:rPr>
          <w:rFonts w:ascii="Arial" w:eastAsia="Arial" w:hAnsi="Arial" w:cs="Arial"/>
          <w:sz w:val="25"/>
          <w:szCs w:val="25"/>
        </w:rPr>
        <w:t>3 member</w:t>
      </w:r>
      <w:proofErr w:type="gramEnd"/>
      <w:r>
        <w:rPr>
          <w:rFonts w:ascii="Arial" w:eastAsia="Arial" w:hAnsi="Arial" w:cs="Arial"/>
          <w:sz w:val="25"/>
          <w:szCs w:val="25"/>
        </w:rPr>
        <w:t xml:space="preserve"> Investment Committee</w:t>
      </w:r>
      <w:r w:rsidR="00F05DF6">
        <w:rPr>
          <w:rFonts w:ascii="Arial" w:eastAsia="Arial" w:hAnsi="Arial" w:cs="Arial"/>
          <w:sz w:val="25"/>
          <w:szCs w:val="25"/>
        </w:rPr>
        <w:t>,</w:t>
      </w:r>
      <w:r>
        <w:rPr>
          <w:rFonts w:ascii="Arial" w:eastAsia="Arial" w:hAnsi="Arial" w:cs="Arial"/>
          <w:sz w:val="25"/>
          <w:szCs w:val="25"/>
        </w:rPr>
        <w:t xml:space="preserve"> </w:t>
      </w:r>
      <w:r w:rsidR="00F05DF6">
        <w:rPr>
          <w:rFonts w:ascii="Arial" w:eastAsia="Arial" w:hAnsi="Arial" w:cs="Arial"/>
          <w:sz w:val="25"/>
          <w:szCs w:val="25"/>
        </w:rPr>
        <w:t xml:space="preserve">comprised of the Treasurer and two current members for the BOG, </w:t>
      </w:r>
      <w:r>
        <w:rPr>
          <w:rFonts w:ascii="Arial" w:eastAsia="Arial" w:hAnsi="Arial" w:cs="Arial"/>
          <w:sz w:val="25"/>
          <w:szCs w:val="25"/>
        </w:rPr>
        <w:t>and has delegated to the Investment Committee the responsibility of recommending an investment policy for all BPBC funds, subject to Board approval. The investment committee determines the broad asset allocation among asset classes, recommends retention or termination of investment consultants and other professionals as deemed appropriate, and monitors investment results.</w:t>
      </w:r>
    </w:p>
    <w:p w14:paraId="3C2C86E4" w14:textId="77777777" w:rsidR="00532100" w:rsidRDefault="00532100">
      <w:pPr>
        <w:spacing w:line="230" w:lineRule="exact"/>
        <w:rPr>
          <w:sz w:val="24"/>
          <w:szCs w:val="24"/>
        </w:rPr>
      </w:pPr>
    </w:p>
    <w:p w14:paraId="133FBB49" w14:textId="77777777" w:rsidR="00532100" w:rsidRDefault="00FF463A">
      <w:pPr>
        <w:ind w:left="120"/>
        <w:rPr>
          <w:sz w:val="20"/>
          <w:szCs w:val="20"/>
        </w:rPr>
      </w:pPr>
      <w:r>
        <w:rPr>
          <w:rFonts w:ascii="Arial" w:eastAsia="Arial" w:hAnsi="Arial" w:cs="Arial"/>
          <w:sz w:val="26"/>
          <w:szCs w:val="26"/>
          <w:u w:val="single"/>
        </w:rPr>
        <w:t>Investment Guidelines</w:t>
      </w:r>
    </w:p>
    <w:p w14:paraId="0F00ACEC" w14:textId="77777777" w:rsidR="00532100" w:rsidRDefault="00532100">
      <w:pPr>
        <w:spacing w:line="50" w:lineRule="exact"/>
        <w:rPr>
          <w:sz w:val="24"/>
          <w:szCs w:val="24"/>
        </w:rPr>
      </w:pPr>
    </w:p>
    <w:p w14:paraId="27F6A590" w14:textId="77777777" w:rsidR="00532100" w:rsidRDefault="00FF463A">
      <w:pPr>
        <w:spacing w:line="232" w:lineRule="auto"/>
        <w:ind w:left="140" w:right="100" w:hanging="14"/>
        <w:rPr>
          <w:sz w:val="20"/>
          <w:szCs w:val="20"/>
        </w:rPr>
      </w:pPr>
      <w:r>
        <w:rPr>
          <w:rFonts w:ascii="Arial" w:eastAsia="Arial" w:hAnsi="Arial" w:cs="Arial"/>
          <w:sz w:val="24"/>
          <w:szCs w:val="24"/>
        </w:rPr>
        <w:t>BPBC's funds shall be invest</w:t>
      </w:r>
      <w:r w:rsidR="00194688">
        <w:rPr>
          <w:rFonts w:ascii="Arial" w:eastAsia="Arial" w:hAnsi="Arial" w:cs="Arial"/>
          <w:sz w:val="24"/>
          <w:szCs w:val="24"/>
        </w:rPr>
        <w:t xml:space="preserve">ed </w:t>
      </w:r>
      <w:r>
        <w:rPr>
          <w:rFonts w:ascii="Arial" w:eastAsia="Arial" w:hAnsi="Arial" w:cs="Arial"/>
          <w:sz w:val="24"/>
          <w:szCs w:val="24"/>
        </w:rPr>
        <w:t xml:space="preserve">only in </w:t>
      </w:r>
      <w:r w:rsidR="00194688">
        <w:rPr>
          <w:rFonts w:ascii="Helvetica" w:hAnsi="Helvetica" w:cs="Helvetica"/>
          <w:color w:val="000000"/>
          <w:sz w:val="23"/>
          <w:szCs w:val="23"/>
          <w:shd w:val="clear" w:color="auto" w:fill="FFFFFF"/>
        </w:rPr>
        <w:t>FDIC insured bank accounts/CD’s and/or US Government Treasury Bonds/Notes.</w:t>
      </w:r>
    </w:p>
    <w:p w14:paraId="3C3A5842" w14:textId="77777777" w:rsidR="00532100" w:rsidRDefault="00532100">
      <w:pPr>
        <w:spacing w:line="213" w:lineRule="exact"/>
        <w:rPr>
          <w:sz w:val="24"/>
          <w:szCs w:val="24"/>
        </w:rPr>
      </w:pPr>
    </w:p>
    <w:p w14:paraId="2558B8BD" w14:textId="77777777" w:rsidR="00532100" w:rsidRDefault="00FF463A">
      <w:pPr>
        <w:spacing w:line="237" w:lineRule="auto"/>
        <w:ind w:left="140" w:right="760" w:hanging="14"/>
        <w:rPr>
          <w:sz w:val="20"/>
          <w:szCs w:val="20"/>
        </w:rPr>
      </w:pPr>
      <w:r>
        <w:rPr>
          <w:rFonts w:ascii="Arial" w:eastAsia="Arial" w:hAnsi="Arial" w:cs="Arial"/>
          <w:sz w:val="24"/>
          <w:szCs w:val="24"/>
        </w:rPr>
        <w:t xml:space="preserve">Invested funds shall be diversified to minimize risk or loss resulting from the over-concentration of assets in a specific maturity or specific issuer. To the extent possible the investment </w:t>
      </w:r>
      <w:proofErr w:type="gramStart"/>
      <w:r>
        <w:rPr>
          <w:rFonts w:ascii="Arial" w:eastAsia="Arial" w:hAnsi="Arial" w:cs="Arial"/>
          <w:sz w:val="24"/>
          <w:szCs w:val="24"/>
        </w:rPr>
        <w:t>maturities</w:t>
      </w:r>
      <w:proofErr w:type="gramEnd"/>
      <w:r>
        <w:rPr>
          <w:rFonts w:ascii="Arial" w:eastAsia="Arial" w:hAnsi="Arial" w:cs="Arial"/>
          <w:sz w:val="24"/>
          <w:szCs w:val="24"/>
        </w:rPr>
        <w:t xml:space="preserve"> should match the anticipated cash flow requirements.</w:t>
      </w:r>
    </w:p>
    <w:p w14:paraId="57B3FF8E" w14:textId="77777777" w:rsidR="00532100" w:rsidRDefault="00532100">
      <w:pPr>
        <w:spacing w:line="200" w:lineRule="exact"/>
        <w:rPr>
          <w:sz w:val="24"/>
          <w:szCs w:val="24"/>
        </w:rPr>
      </w:pPr>
    </w:p>
    <w:p w14:paraId="2F5FBCB5" w14:textId="77777777" w:rsidR="00532100" w:rsidRDefault="00532100">
      <w:pPr>
        <w:spacing w:line="269" w:lineRule="exact"/>
        <w:rPr>
          <w:sz w:val="24"/>
          <w:szCs w:val="24"/>
        </w:rPr>
      </w:pPr>
    </w:p>
    <w:p w14:paraId="06D74898" w14:textId="77777777" w:rsidR="00532100" w:rsidRDefault="00FF463A">
      <w:pPr>
        <w:ind w:left="120"/>
        <w:rPr>
          <w:sz w:val="20"/>
          <w:szCs w:val="20"/>
        </w:rPr>
      </w:pPr>
      <w:r>
        <w:rPr>
          <w:rFonts w:ascii="Arial" w:eastAsia="Arial" w:hAnsi="Arial" w:cs="Arial"/>
          <w:sz w:val="25"/>
          <w:szCs w:val="25"/>
        </w:rPr>
        <w:t>This Policy shall be reviewed annually by the Board of Governors.</w:t>
      </w:r>
    </w:p>
    <w:p w14:paraId="0C08A4B9" w14:textId="77777777" w:rsidR="00532100" w:rsidRDefault="00532100">
      <w:pPr>
        <w:spacing w:line="200" w:lineRule="exact"/>
        <w:rPr>
          <w:sz w:val="24"/>
          <w:szCs w:val="24"/>
        </w:rPr>
      </w:pPr>
    </w:p>
    <w:p w14:paraId="42A3F4D8" w14:textId="77777777" w:rsidR="00532100" w:rsidRDefault="00532100">
      <w:pPr>
        <w:spacing w:line="200" w:lineRule="exact"/>
        <w:rPr>
          <w:sz w:val="24"/>
          <w:szCs w:val="24"/>
        </w:rPr>
      </w:pPr>
    </w:p>
    <w:p w14:paraId="26F4DFAE" w14:textId="77777777" w:rsidR="00532100" w:rsidRDefault="00532100">
      <w:pPr>
        <w:spacing w:line="251" w:lineRule="exact"/>
        <w:rPr>
          <w:sz w:val="24"/>
          <w:szCs w:val="24"/>
        </w:rPr>
      </w:pPr>
    </w:p>
    <w:p w14:paraId="1B35EE8E" w14:textId="77777777" w:rsidR="00532100" w:rsidRDefault="00FF463A">
      <w:pPr>
        <w:ind w:left="2240"/>
        <w:rPr>
          <w:sz w:val="20"/>
          <w:szCs w:val="20"/>
        </w:rPr>
      </w:pPr>
      <w:r>
        <w:rPr>
          <w:rFonts w:ascii="Arial" w:eastAsia="Arial" w:hAnsi="Arial" w:cs="Arial"/>
          <w:sz w:val="27"/>
          <w:szCs w:val="27"/>
        </w:rPr>
        <w:t>Black Point Beach Club Association</w:t>
      </w:r>
    </w:p>
    <w:p w14:paraId="7F0D76FA" w14:textId="77777777" w:rsidR="00532100" w:rsidRDefault="00532100">
      <w:pPr>
        <w:sectPr w:rsidR="00532100">
          <w:pgSz w:w="12240" w:h="15840"/>
          <w:pgMar w:top="660" w:right="1440" w:bottom="1440" w:left="1300" w:header="0" w:footer="0" w:gutter="0"/>
          <w:cols w:space="720" w:equalWidth="0">
            <w:col w:w="9500"/>
          </w:cols>
        </w:sectPr>
      </w:pPr>
    </w:p>
    <w:p w14:paraId="429A5A45" w14:textId="77777777" w:rsidR="00532100" w:rsidRDefault="00532100">
      <w:pPr>
        <w:spacing w:line="252" w:lineRule="exact"/>
        <w:rPr>
          <w:sz w:val="24"/>
          <w:szCs w:val="24"/>
        </w:rPr>
      </w:pPr>
    </w:p>
    <w:p w14:paraId="3685CFE0" w14:textId="77777777" w:rsidR="00532100" w:rsidRDefault="00FF463A">
      <w:pPr>
        <w:ind w:left="4700"/>
        <w:rPr>
          <w:sz w:val="20"/>
          <w:szCs w:val="20"/>
        </w:rPr>
      </w:pPr>
      <w:r>
        <w:rPr>
          <w:rFonts w:ascii="Arial" w:eastAsia="Arial" w:hAnsi="Arial" w:cs="Arial"/>
          <w:sz w:val="25"/>
          <w:szCs w:val="25"/>
        </w:rPr>
        <w:t>Approved and Adopted</w:t>
      </w:r>
    </w:p>
    <w:p w14:paraId="468490CD" w14:textId="77777777" w:rsidR="00532100" w:rsidRDefault="00532100">
      <w:pPr>
        <w:spacing w:line="43" w:lineRule="exact"/>
        <w:rPr>
          <w:sz w:val="24"/>
          <w:szCs w:val="24"/>
        </w:rPr>
      </w:pPr>
    </w:p>
    <w:p w14:paraId="66B3ECCD" w14:textId="77777777" w:rsidR="00532100" w:rsidRDefault="00F05DF6">
      <w:pPr>
        <w:ind w:left="4700"/>
        <w:rPr>
          <w:rFonts w:ascii="Arial" w:eastAsia="Arial" w:hAnsi="Arial" w:cs="Arial"/>
          <w:sz w:val="24"/>
          <w:szCs w:val="24"/>
        </w:rPr>
      </w:pPr>
      <w:proofErr w:type="gramStart"/>
      <w:r>
        <w:rPr>
          <w:rFonts w:ascii="Arial" w:eastAsia="Arial" w:hAnsi="Arial" w:cs="Arial"/>
          <w:sz w:val="24"/>
          <w:szCs w:val="24"/>
        </w:rPr>
        <w:t>Date  4</w:t>
      </w:r>
      <w:proofErr w:type="gramEnd"/>
      <w:r>
        <w:rPr>
          <w:rFonts w:ascii="Arial" w:eastAsia="Arial" w:hAnsi="Arial" w:cs="Arial"/>
          <w:sz w:val="24"/>
          <w:szCs w:val="24"/>
        </w:rPr>
        <w:t>/29/2023</w:t>
      </w:r>
    </w:p>
    <w:p w14:paraId="1F9056A2" w14:textId="77777777" w:rsidR="00163645" w:rsidRDefault="00163645">
      <w:pPr>
        <w:ind w:left="4700"/>
        <w:rPr>
          <w:rFonts w:ascii="Arial" w:eastAsia="Arial" w:hAnsi="Arial" w:cs="Arial"/>
          <w:sz w:val="24"/>
          <w:szCs w:val="24"/>
        </w:rPr>
      </w:pPr>
    </w:p>
    <w:p w14:paraId="7F583660" w14:textId="77777777" w:rsidR="00163645" w:rsidRDefault="00163645">
      <w:pPr>
        <w:ind w:left="4700"/>
        <w:rPr>
          <w:rFonts w:ascii="Arial" w:eastAsia="Arial" w:hAnsi="Arial" w:cs="Arial"/>
          <w:sz w:val="24"/>
          <w:szCs w:val="24"/>
        </w:rPr>
      </w:pPr>
    </w:p>
    <w:p w14:paraId="762B038C" w14:textId="77777777" w:rsidR="00163645" w:rsidRDefault="00F05DF6" w:rsidP="00F05DF6">
      <w:pPr>
        <w:ind w:left="8300" w:firstLine="340"/>
        <w:rPr>
          <w:rFonts w:ascii="Arial" w:eastAsia="Arial" w:hAnsi="Arial" w:cs="Arial"/>
          <w:sz w:val="24"/>
          <w:szCs w:val="24"/>
        </w:rPr>
      </w:pPr>
      <w:r>
        <w:rPr>
          <w:rFonts w:ascii="Arial" w:eastAsia="Arial" w:hAnsi="Arial" w:cs="Arial"/>
          <w:sz w:val="24"/>
          <w:szCs w:val="24"/>
        </w:rPr>
        <w:t>Aac-4/23</w:t>
      </w:r>
    </w:p>
    <w:p w14:paraId="6B3409AB" w14:textId="77777777" w:rsidR="00163645" w:rsidRDefault="00163645">
      <w:pPr>
        <w:ind w:left="4700"/>
        <w:rPr>
          <w:sz w:val="20"/>
          <w:szCs w:val="20"/>
        </w:rPr>
      </w:pPr>
    </w:p>
    <w:sectPr w:rsidR="00163645" w:rsidSect="00F05DF6">
      <w:type w:val="continuous"/>
      <w:pgSz w:w="12240" w:h="15840"/>
      <w:pgMar w:top="720" w:right="720" w:bottom="720" w:left="720" w:header="0" w:footer="0" w:gutter="0"/>
      <w:cols w:space="720" w:equalWidth="0">
        <w:col w:w="1022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100"/>
    <w:rsid w:val="00034F9D"/>
    <w:rsid w:val="00163645"/>
    <w:rsid w:val="00194688"/>
    <w:rsid w:val="00532100"/>
    <w:rsid w:val="0065429A"/>
    <w:rsid w:val="00C45AE6"/>
    <w:rsid w:val="00CC58CE"/>
    <w:rsid w:val="00DE2257"/>
    <w:rsid w:val="00F05DF6"/>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48F7"/>
  <w15:docId w15:val="{765A2124-4440-4EE5-AD1E-BB68F90C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 capozzajr</cp:lastModifiedBy>
  <cp:revision>2</cp:revision>
  <cp:lastPrinted>2023-04-27T17:01:00Z</cp:lastPrinted>
  <dcterms:created xsi:type="dcterms:W3CDTF">2025-06-20T12:00:00Z</dcterms:created>
  <dcterms:modified xsi:type="dcterms:W3CDTF">2025-06-20T12:00:00Z</dcterms:modified>
</cp:coreProperties>
</file>